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FCE05" w14:textId="77777777" w:rsidR="00F2109B" w:rsidRDefault="002F5DF4">
      <w:pPr>
        <w:shd w:val="clear" w:color="auto" w:fill="FFFFFF"/>
        <w:jc w:val="center"/>
      </w:pPr>
      <w:r>
        <w:rPr>
          <w:b/>
        </w:rPr>
        <w:t xml:space="preserve">Educational Master Planning Task Force </w:t>
      </w:r>
      <w:r>
        <w:t xml:space="preserve"> </w:t>
      </w:r>
    </w:p>
    <w:p w14:paraId="679F6982" w14:textId="77777777" w:rsidR="00F2109B" w:rsidRDefault="002F5DF4">
      <w:pPr>
        <w:shd w:val="clear" w:color="auto" w:fill="FFFFFF"/>
        <w:jc w:val="center"/>
      </w:pPr>
      <w:r>
        <w:rPr>
          <w:b/>
        </w:rPr>
        <w:t xml:space="preserve">Fifth Meeting </w:t>
      </w:r>
      <w:r>
        <w:t xml:space="preserve"> </w:t>
      </w:r>
    </w:p>
    <w:p w14:paraId="699F9C4E" w14:textId="77777777" w:rsidR="00F2109B" w:rsidRDefault="002F5DF4">
      <w:pPr>
        <w:shd w:val="clear" w:color="auto" w:fill="FFFFFF"/>
        <w:jc w:val="center"/>
      </w:pPr>
      <w:r>
        <w:rPr>
          <w:b/>
        </w:rPr>
        <w:t xml:space="preserve">October 20, 2021 </w:t>
      </w:r>
      <w:r>
        <w:t xml:space="preserve"> </w:t>
      </w:r>
    </w:p>
    <w:p w14:paraId="2B3C54BF" w14:textId="77777777" w:rsidR="00F2109B" w:rsidRDefault="002F5DF4">
      <w:pPr>
        <w:shd w:val="clear" w:color="auto" w:fill="FFFFFF"/>
        <w:jc w:val="center"/>
        <w:rPr>
          <w:b/>
        </w:rPr>
      </w:pPr>
      <w:r>
        <w:rPr>
          <w:b/>
        </w:rPr>
        <w:t xml:space="preserve">MEETING MINUTES </w:t>
      </w:r>
    </w:p>
    <w:p w14:paraId="448BF941" w14:textId="77777777" w:rsidR="00F2109B" w:rsidRDefault="002F5DF4">
      <w:pPr>
        <w:shd w:val="clear" w:color="auto" w:fill="FFFFFF"/>
      </w:pPr>
      <w:r>
        <w:rPr>
          <w:b/>
        </w:rPr>
        <w:t xml:space="preserve">Task Force Members Present: </w:t>
      </w:r>
      <w:r>
        <w:t xml:space="preserve">David Eck, Roslind Young, Brittney Samora-Delgadillo, Nimsi Garcia, Allison Hughes, Hyla Lacefield, Eddy Harris, </w:t>
      </w:r>
      <w:r>
        <w:t xml:space="preserve">Mira Rubio </w:t>
      </w:r>
    </w:p>
    <w:p w14:paraId="48E61299" w14:textId="77777777" w:rsidR="00F2109B" w:rsidRDefault="002F5DF4">
      <w:pPr>
        <w:shd w:val="clear" w:color="auto" w:fill="FFFFFF"/>
        <w:ind w:right="440"/>
      </w:pPr>
      <w:r>
        <w:rPr>
          <w:b/>
        </w:rPr>
        <w:t>PRIE</w:t>
      </w:r>
      <w:r>
        <w:t xml:space="preserve">:  Karen Engel, Alex Claxton, Isaac Chukwudebe   </w:t>
      </w:r>
    </w:p>
    <w:p w14:paraId="3D644535" w14:textId="77777777" w:rsidR="00F2109B" w:rsidRDefault="002F5DF4">
      <w:pPr>
        <w:shd w:val="clear" w:color="auto" w:fill="FFFFFF"/>
        <w:ind w:right="440"/>
      </w:pPr>
      <w:r>
        <w:rPr>
          <w:b/>
        </w:rPr>
        <w:t>Task Force Members Absent</w:t>
      </w:r>
      <w:r>
        <w:t>:  Leonor Cabrera, Wissem Bennani, K</w:t>
      </w:r>
      <w:r>
        <w:t xml:space="preserve">rystal Martinez, Jeanne Stalker, Jenna French, Alicia Aguirre, Mary Ho </w:t>
      </w:r>
    </w:p>
    <w:p w14:paraId="4ABFE2FC" w14:textId="77777777" w:rsidR="00F2109B" w:rsidRDefault="002F5DF4">
      <w:pPr>
        <w:shd w:val="clear" w:color="auto" w:fill="FFFFFF"/>
        <w:ind w:right="440"/>
      </w:pPr>
      <w:r>
        <w:rPr>
          <w:b/>
        </w:rPr>
        <w:t>Community Member Present</w:t>
      </w:r>
      <w:r>
        <w:t>: David Reed</w:t>
      </w:r>
      <w:r w:rsidR="003E19ED">
        <w:t>, Tammy Robinson</w:t>
      </w:r>
      <w:r>
        <w:t xml:space="preserve"> </w:t>
      </w:r>
    </w:p>
    <w:p w14:paraId="3E73CA7E" w14:textId="77777777" w:rsidR="00F2109B" w:rsidRDefault="00F2109B">
      <w:pPr>
        <w:shd w:val="clear" w:color="auto" w:fill="FFFFFF"/>
        <w:ind w:right="440"/>
      </w:pPr>
    </w:p>
    <w:p w14:paraId="7B2C21A8" w14:textId="77777777" w:rsidR="00F2109B" w:rsidRDefault="00F2109B">
      <w:pPr>
        <w:shd w:val="clear" w:color="auto" w:fill="FFFFFF"/>
      </w:pPr>
    </w:p>
    <w:p w14:paraId="67141AB9" w14:textId="3C3C357D" w:rsidR="00F2109B" w:rsidRDefault="002F5DF4">
      <w:pPr>
        <w:shd w:val="clear" w:color="auto" w:fill="FFFFFF"/>
      </w:pPr>
      <w:r>
        <w:t>Roz Young initiated a debriefing of the college’s Flex Day review of the mission, vision, and values statements. Meeting participants expressed overall satis</w:t>
      </w:r>
      <w:r>
        <w:t>faction with Flex Day activities, a positive experience with the jam board, and an appreciation of the excellent work of facilitators in robust breakout sessions. Some agreed-upon next steps were the setup of an online portal for additional input and consu</w:t>
      </w:r>
      <w:r>
        <w:t xml:space="preserve">ltation with the student senate. Additional steps planned were the </w:t>
      </w:r>
      <w:r>
        <w:t>wrap-up of feedback by the end of October with the revised draft shared with the college at January Flex</w:t>
      </w:r>
      <w:r>
        <w:t xml:space="preserve">.     </w:t>
      </w:r>
    </w:p>
    <w:p w14:paraId="09520C3E" w14:textId="77777777" w:rsidR="00F2109B" w:rsidRDefault="00F2109B">
      <w:pPr>
        <w:shd w:val="clear" w:color="auto" w:fill="FFFFFF"/>
      </w:pPr>
    </w:p>
    <w:p w14:paraId="2BAC629E" w14:textId="77777777" w:rsidR="00F2109B" w:rsidRDefault="002F5DF4">
      <w:pPr>
        <w:shd w:val="clear" w:color="auto" w:fill="FFFFFF"/>
      </w:pPr>
      <w:r>
        <w:t>David Eck opened a discussion of the college’s strength</w:t>
      </w:r>
      <w:r>
        <w:t>s, weaknesses, and opportunities. Following breakout room deliberations, the following were identified:</w:t>
      </w:r>
    </w:p>
    <w:p w14:paraId="0F5014CD" w14:textId="77777777" w:rsidR="00F2109B" w:rsidRDefault="00F2109B">
      <w:pPr>
        <w:rPr>
          <w:b/>
          <w:u w:val="single"/>
        </w:rPr>
      </w:pPr>
    </w:p>
    <w:p w14:paraId="0E3AC84E" w14:textId="77777777" w:rsidR="00F2109B" w:rsidRDefault="002F5DF4">
      <w:pPr>
        <w:rPr>
          <w:b/>
          <w:u w:val="single"/>
        </w:rPr>
      </w:pPr>
      <w:r>
        <w:rPr>
          <w:b/>
          <w:u w:val="single"/>
        </w:rPr>
        <w:t>Strengths</w:t>
      </w:r>
    </w:p>
    <w:p w14:paraId="002304EC" w14:textId="77777777" w:rsidR="00F2109B" w:rsidRDefault="002F5DF4">
      <w:pPr>
        <w:numPr>
          <w:ilvl w:val="0"/>
          <w:numId w:val="5"/>
        </w:numPr>
      </w:pPr>
      <w:r>
        <w:t>The presence of a responsive and organized faculty and staff willing to provide personalized support to students in need.</w:t>
      </w:r>
    </w:p>
    <w:p w14:paraId="5A808822" w14:textId="77777777" w:rsidR="00F2109B" w:rsidRDefault="002F5DF4">
      <w:pPr>
        <w:numPr>
          <w:ilvl w:val="0"/>
          <w:numId w:val="5"/>
        </w:numPr>
      </w:pPr>
      <w:r>
        <w:t>A culture of care.</w:t>
      </w:r>
    </w:p>
    <w:p w14:paraId="0FF35540" w14:textId="77777777" w:rsidR="00F2109B" w:rsidRDefault="002F5DF4">
      <w:pPr>
        <w:numPr>
          <w:ilvl w:val="0"/>
          <w:numId w:val="5"/>
        </w:numPr>
      </w:pPr>
      <w:r>
        <w:t>A sense of community due to the college’s small size.</w:t>
      </w:r>
    </w:p>
    <w:p w14:paraId="051A3266" w14:textId="77777777" w:rsidR="00F2109B" w:rsidRDefault="002F5DF4">
      <w:pPr>
        <w:numPr>
          <w:ilvl w:val="0"/>
          <w:numId w:val="5"/>
        </w:numPr>
      </w:pPr>
      <w:r>
        <w:t>Great benefits and compensation for staff.</w:t>
      </w:r>
    </w:p>
    <w:p w14:paraId="590C24BB" w14:textId="77777777" w:rsidR="00F2109B" w:rsidRDefault="002F5DF4">
      <w:pPr>
        <w:numPr>
          <w:ilvl w:val="0"/>
          <w:numId w:val="5"/>
        </w:numPr>
      </w:pPr>
      <w:r>
        <w:t>Location in proximity to innovation and the tech industry.</w:t>
      </w:r>
    </w:p>
    <w:p w14:paraId="41EA042F" w14:textId="77777777" w:rsidR="00F2109B" w:rsidRDefault="002F5DF4">
      <w:pPr>
        <w:numPr>
          <w:ilvl w:val="0"/>
          <w:numId w:val="5"/>
        </w:numPr>
      </w:pPr>
      <w:r>
        <w:t>Opportunities for active participation.</w:t>
      </w:r>
    </w:p>
    <w:p w14:paraId="49AF4847" w14:textId="77777777" w:rsidR="00F2109B" w:rsidRDefault="002F5DF4">
      <w:pPr>
        <w:numPr>
          <w:ilvl w:val="0"/>
          <w:numId w:val="5"/>
        </w:numPr>
      </w:pPr>
      <w:r>
        <w:t>Work and leadership opportunities for students</w:t>
      </w:r>
    </w:p>
    <w:p w14:paraId="6474B763" w14:textId="77777777" w:rsidR="00F2109B" w:rsidRDefault="002F5DF4">
      <w:pPr>
        <w:rPr>
          <w:b/>
          <w:u w:val="single"/>
        </w:rPr>
      </w:pPr>
      <w:r>
        <w:rPr>
          <w:b/>
          <w:u w:val="single"/>
        </w:rPr>
        <w:t>Challenges</w:t>
      </w:r>
    </w:p>
    <w:p w14:paraId="6CAC4ADF" w14:textId="77777777" w:rsidR="00F2109B" w:rsidRDefault="002F5DF4">
      <w:pPr>
        <w:numPr>
          <w:ilvl w:val="0"/>
          <w:numId w:val="1"/>
        </w:numPr>
      </w:pPr>
      <w:r>
        <w:t>Understaffing and a resultant challenge of overwhelming responsibilities.</w:t>
      </w:r>
    </w:p>
    <w:p w14:paraId="28C13B28" w14:textId="77777777" w:rsidR="00F2109B" w:rsidRDefault="002F5DF4">
      <w:pPr>
        <w:numPr>
          <w:ilvl w:val="0"/>
          <w:numId w:val="1"/>
        </w:numPr>
      </w:pPr>
      <w:r>
        <w:t>Inadequate investment in automation and associated inefficiencies in processes and workflows.</w:t>
      </w:r>
    </w:p>
    <w:p w14:paraId="180747F9" w14:textId="77777777" w:rsidR="00F2109B" w:rsidRDefault="002F5DF4">
      <w:pPr>
        <w:numPr>
          <w:ilvl w:val="0"/>
          <w:numId w:val="1"/>
        </w:numPr>
      </w:pPr>
      <w:r>
        <w:t>Insufficient time and opportunities for professional development.</w:t>
      </w:r>
    </w:p>
    <w:p w14:paraId="6A60D826" w14:textId="77777777" w:rsidR="00F2109B" w:rsidRDefault="002F5DF4">
      <w:pPr>
        <w:numPr>
          <w:ilvl w:val="0"/>
          <w:numId w:val="1"/>
        </w:numPr>
      </w:pPr>
      <w:r>
        <w:lastRenderedPageBreak/>
        <w:t xml:space="preserve">High cost of paying a </w:t>
      </w:r>
      <w:r>
        <w:t>livable wage in the region.</w:t>
      </w:r>
    </w:p>
    <w:p w14:paraId="20510897" w14:textId="77777777" w:rsidR="00F2109B" w:rsidRDefault="002F5DF4">
      <w:pPr>
        <w:numPr>
          <w:ilvl w:val="0"/>
          <w:numId w:val="1"/>
        </w:numPr>
      </w:pPr>
      <w:r>
        <w:t>Risk of cuts to Basic Aid Funding.</w:t>
      </w:r>
    </w:p>
    <w:p w14:paraId="5FC35A13" w14:textId="77777777" w:rsidR="00F2109B" w:rsidRDefault="002F5DF4">
      <w:pPr>
        <w:numPr>
          <w:ilvl w:val="0"/>
          <w:numId w:val="1"/>
        </w:numPr>
      </w:pPr>
      <w:r>
        <w:t xml:space="preserve">Scheduling of online degrees and certificates. </w:t>
      </w:r>
    </w:p>
    <w:p w14:paraId="64638735" w14:textId="77777777" w:rsidR="00F2109B" w:rsidRDefault="002F5DF4">
      <w:pPr>
        <w:numPr>
          <w:ilvl w:val="0"/>
          <w:numId w:val="1"/>
        </w:numPr>
      </w:pPr>
      <w:r>
        <w:t>Student difficulty with matriculation, registration, and securing counseling appointments.</w:t>
      </w:r>
    </w:p>
    <w:p w14:paraId="5946E334" w14:textId="77777777" w:rsidR="00F2109B" w:rsidRDefault="002F5DF4">
      <w:pPr>
        <w:numPr>
          <w:ilvl w:val="0"/>
          <w:numId w:val="1"/>
        </w:numPr>
      </w:pPr>
      <w:r>
        <w:t>Limitations in the range and time of class offerings.</w:t>
      </w:r>
    </w:p>
    <w:p w14:paraId="0F8731C3" w14:textId="77777777" w:rsidR="00F2109B" w:rsidRDefault="002F5DF4">
      <w:pPr>
        <w:numPr>
          <w:ilvl w:val="0"/>
          <w:numId w:val="1"/>
        </w:numPr>
      </w:pPr>
      <w:r>
        <w:t>Limitations in space available for students to study and socialize.</w:t>
      </w:r>
    </w:p>
    <w:p w14:paraId="508CC095" w14:textId="77777777" w:rsidR="00F2109B" w:rsidRDefault="002F5DF4">
      <w:pPr>
        <w:numPr>
          <w:ilvl w:val="0"/>
          <w:numId w:val="1"/>
        </w:numPr>
      </w:pPr>
      <w:r>
        <w:t>Employee Zoom fatigue.</w:t>
      </w:r>
    </w:p>
    <w:p w14:paraId="42C4FD8E" w14:textId="77777777" w:rsidR="00F2109B" w:rsidRDefault="002F5DF4">
      <w:pPr>
        <w:numPr>
          <w:ilvl w:val="0"/>
          <w:numId w:val="1"/>
        </w:numPr>
      </w:pPr>
      <w:r>
        <w:t xml:space="preserve">Lack of student and community awareness of great programs available at college. </w:t>
      </w:r>
    </w:p>
    <w:p w14:paraId="1A3FF9DE" w14:textId="77777777" w:rsidR="00F2109B" w:rsidRDefault="002F5DF4">
      <w:pPr>
        <w:numPr>
          <w:ilvl w:val="0"/>
          <w:numId w:val="1"/>
        </w:numPr>
      </w:pPr>
      <w:r>
        <w:t>Flexibility and openness to new ideas and trends in the changing higher education la</w:t>
      </w:r>
      <w:r>
        <w:t>ndscape.</w:t>
      </w:r>
    </w:p>
    <w:p w14:paraId="236185DA" w14:textId="77777777" w:rsidR="00F2109B" w:rsidRDefault="002F5DF4">
      <w:pPr>
        <w:numPr>
          <w:ilvl w:val="0"/>
          <w:numId w:val="1"/>
        </w:numPr>
      </w:pPr>
      <w:r>
        <w:t>Mobility within the hilly terrain of the campus.</w:t>
      </w:r>
    </w:p>
    <w:p w14:paraId="6F58CB9E" w14:textId="77777777" w:rsidR="00F2109B" w:rsidRDefault="002F5DF4">
      <w:pPr>
        <w:numPr>
          <w:ilvl w:val="0"/>
          <w:numId w:val="1"/>
        </w:numPr>
      </w:pPr>
      <w:r>
        <w:t>Locating campus buildings.</w:t>
      </w:r>
    </w:p>
    <w:p w14:paraId="3C885AEB" w14:textId="77777777" w:rsidR="00F2109B" w:rsidRDefault="002F5DF4">
      <w:pPr>
        <w:rPr>
          <w:b/>
          <w:u w:val="single"/>
        </w:rPr>
      </w:pPr>
      <w:r>
        <w:rPr>
          <w:b/>
          <w:u w:val="single"/>
        </w:rPr>
        <w:t>Opportunities</w:t>
      </w:r>
    </w:p>
    <w:p w14:paraId="5614C036" w14:textId="77777777" w:rsidR="00F2109B" w:rsidRDefault="002F5DF4">
      <w:pPr>
        <w:numPr>
          <w:ilvl w:val="0"/>
          <w:numId w:val="3"/>
        </w:numPr>
      </w:pPr>
      <w:r>
        <w:t>Chatbot/CRM offloading.</w:t>
      </w:r>
    </w:p>
    <w:p w14:paraId="751EC576" w14:textId="77777777" w:rsidR="00F2109B" w:rsidRDefault="002F5DF4">
      <w:pPr>
        <w:numPr>
          <w:ilvl w:val="0"/>
          <w:numId w:val="3"/>
        </w:numPr>
      </w:pPr>
      <w:r>
        <w:t>Changes in online teaching and learning that will endure beyond the pandemic.</w:t>
      </w:r>
    </w:p>
    <w:p w14:paraId="388A24A6" w14:textId="77777777" w:rsidR="00F2109B" w:rsidRDefault="002F5DF4">
      <w:pPr>
        <w:numPr>
          <w:ilvl w:val="0"/>
          <w:numId w:val="3"/>
        </w:numPr>
      </w:pPr>
      <w:r>
        <w:t>Leverage our student’s abilities, ideas, and talents to help move our initiatives and center our work.</w:t>
      </w:r>
    </w:p>
    <w:p w14:paraId="26ACB39F" w14:textId="77777777" w:rsidR="00F2109B" w:rsidRDefault="002F5DF4">
      <w:pPr>
        <w:numPr>
          <w:ilvl w:val="0"/>
          <w:numId w:val="3"/>
        </w:numPr>
      </w:pPr>
      <w:r>
        <w:t>Incorporation of career exploration into guided pathways (program mapper?).</w:t>
      </w:r>
    </w:p>
    <w:p w14:paraId="4A73A0E5" w14:textId="77777777" w:rsidR="00F2109B" w:rsidRDefault="002F5DF4">
      <w:pPr>
        <w:numPr>
          <w:ilvl w:val="0"/>
          <w:numId w:val="3"/>
        </w:numPr>
      </w:pPr>
      <w:r>
        <w:t>Make resources more publicized.</w:t>
      </w:r>
    </w:p>
    <w:p w14:paraId="50F04BA1" w14:textId="77777777" w:rsidR="00F2109B" w:rsidRDefault="002F5DF4">
      <w:pPr>
        <w:numPr>
          <w:ilvl w:val="0"/>
          <w:numId w:val="3"/>
        </w:numPr>
      </w:pPr>
      <w:r>
        <w:t>Professional development and awareness traini</w:t>
      </w:r>
      <w:r>
        <w:t>ng for disabilities.</w:t>
      </w:r>
    </w:p>
    <w:p w14:paraId="2D92428C" w14:textId="77777777" w:rsidR="00F2109B" w:rsidRDefault="002F5DF4">
      <w:pPr>
        <w:numPr>
          <w:ilvl w:val="0"/>
          <w:numId w:val="3"/>
        </w:numPr>
      </w:pPr>
      <w:r>
        <w:t>Opportunity for branding around health and wellness.</w:t>
      </w:r>
    </w:p>
    <w:p w14:paraId="5F0FAD47" w14:textId="77777777" w:rsidR="00F2109B" w:rsidRDefault="002F5DF4">
      <w:pPr>
        <w:numPr>
          <w:ilvl w:val="0"/>
          <w:numId w:val="3"/>
        </w:numPr>
      </w:pPr>
      <w:r>
        <w:t>Middle College, Dual Enrollment and Promise Scholars Program - attract and engage high school students in the surrounding area.</w:t>
      </w:r>
    </w:p>
    <w:p w14:paraId="77777460" w14:textId="77777777" w:rsidR="00F2109B" w:rsidRDefault="002F5DF4">
      <w:pPr>
        <w:numPr>
          <w:ilvl w:val="0"/>
          <w:numId w:val="3"/>
        </w:numPr>
      </w:pPr>
      <w:r>
        <w:t>Community partnerships can create visibility for Cañada (OYE, FOCC, BGCP, PAL, etc)</w:t>
      </w:r>
    </w:p>
    <w:p w14:paraId="3CB8832E" w14:textId="77777777" w:rsidR="00F2109B" w:rsidRDefault="002F5DF4">
      <w:pPr>
        <w:widowControl w:val="0"/>
        <w:numPr>
          <w:ilvl w:val="0"/>
          <w:numId w:val="2"/>
        </w:numPr>
        <w:spacing w:line="240" w:lineRule="auto"/>
      </w:pPr>
      <w:r>
        <w:t>Have the capacity to provide education for the whole family.</w:t>
      </w:r>
    </w:p>
    <w:p w14:paraId="0D8D62BE" w14:textId="77777777" w:rsidR="00F2109B" w:rsidRDefault="002F5DF4">
      <w:pPr>
        <w:widowControl w:val="0"/>
        <w:numPr>
          <w:ilvl w:val="0"/>
          <w:numId w:val="2"/>
        </w:numPr>
        <w:spacing w:line="240" w:lineRule="auto"/>
      </w:pPr>
      <w:r>
        <w:t xml:space="preserve">Multiple new spaces that could increase campus life and activities such as a multicultural center. </w:t>
      </w:r>
    </w:p>
    <w:p w14:paraId="0411BD23" w14:textId="77777777" w:rsidR="00F2109B" w:rsidRDefault="002F5DF4">
      <w:pPr>
        <w:widowControl w:val="0"/>
        <w:numPr>
          <w:ilvl w:val="0"/>
          <w:numId w:val="4"/>
        </w:numPr>
        <w:spacing w:line="240" w:lineRule="auto"/>
      </w:pPr>
      <w:r>
        <w:t xml:space="preserve">Building 1 </w:t>
      </w:r>
      <w:r>
        <w:t>an opportunity for more student-athletes at Cañada.</w:t>
      </w:r>
    </w:p>
    <w:p w14:paraId="37919E57" w14:textId="77777777" w:rsidR="00F2109B" w:rsidRDefault="002F5DF4">
      <w:pPr>
        <w:widowControl w:val="0"/>
        <w:numPr>
          <w:ilvl w:val="0"/>
          <w:numId w:val="4"/>
        </w:numPr>
        <w:spacing w:line="240" w:lineRule="auto"/>
      </w:pPr>
      <w:r>
        <w:t>Technology to facilitate virtual meet-up</w:t>
      </w:r>
    </w:p>
    <w:p w14:paraId="6874330A" w14:textId="77777777" w:rsidR="00F2109B" w:rsidRDefault="00F2109B"/>
    <w:p w14:paraId="4CD6F2C1" w14:textId="77777777" w:rsidR="00F2109B" w:rsidRDefault="00F2109B">
      <w:pPr>
        <w:shd w:val="clear" w:color="auto" w:fill="FFFFFF"/>
      </w:pPr>
    </w:p>
    <w:p w14:paraId="6D2BB412" w14:textId="38811D00" w:rsidR="00F2109B" w:rsidRDefault="002F5DF4">
      <w:pPr>
        <w:shd w:val="clear" w:color="auto" w:fill="FFFFFF"/>
      </w:pPr>
      <w:r>
        <w:t>Dean Engel delivered a PRIE presentation on the college’s internal data. She highlighted alarming declines in total headcount and FTES that were exacerbated by t</w:t>
      </w:r>
      <w:r>
        <w:t>he COVID-19 pandemic. Notably, the worrying declines contrast statewide increases in FTES</w:t>
      </w:r>
      <w:r>
        <w:t xml:space="preserve"> and slower-paced drops at Skyline and College of San Mateo. Furthermore, Dean Engel highlighted declining home campus course enrollments, fewer low-income stude</w:t>
      </w:r>
      <w:r>
        <w:t xml:space="preserve">nts, substantial losses of male-identifying students, and negative trends in all categories of students. In light of the college’s gender imbalance, Hyla Lacefield proposed an AMAB (assigned male at birth) </w:t>
      </w:r>
      <w:r>
        <w:t xml:space="preserve">focus group. </w:t>
      </w:r>
    </w:p>
    <w:p w14:paraId="40A80E33" w14:textId="77777777" w:rsidR="00F2109B" w:rsidRDefault="00F2109B">
      <w:pPr>
        <w:shd w:val="clear" w:color="auto" w:fill="FFFFFF"/>
      </w:pPr>
    </w:p>
    <w:p w14:paraId="0A359784" w14:textId="77777777" w:rsidR="00F2109B" w:rsidRDefault="002F5DF4">
      <w:pPr>
        <w:shd w:val="clear" w:color="auto" w:fill="FFFFFF"/>
      </w:pPr>
      <w:r>
        <w:t>Alex Claxton continued the PRIE presentation summarizing gro</w:t>
      </w:r>
      <w:r>
        <w:t>ups disproportionately impacted in course success. He noted some progress achieved with the homeless, veterans, and adult school enrollees. Furthermore, he informed meeting participants of race/ethnicity data revealing disproportionately lower BIPOC studen</w:t>
      </w:r>
      <w:r>
        <w:t xml:space="preserve">t success. In response to the data on the success rates </w:t>
      </w:r>
      <w:r>
        <w:lastRenderedPageBreak/>
        <w:t xml:space="preserve">of female BIPOC students, Hyla Lacefield expressed the view that raising children during the pandemic posed a particular challenge to women.   </w:t>
      </w:r>
    </w:p>
    <w:p w14:paraId="45026663" w14:textId="77777777" w:rsidR="00F2109B" w:rsidRDefault="00F2109B">
      <w:pPr>
        <w:shd w:val="clear" w:color="auto" w:fill="FFFFFF"/>
      </w:pPr>
    </w:p>
    <w:p w14:paraId="081ED017" w14:textId="4C426C0E" w:rsidR="00F2109B" w:rsidRDefault="002F5DF4">
      <w:pPr>
        <w:shd w:val="clear" w:color="auto" w:fill="FFFFFF"/>
      </w:pPr>
      <w:r>
        <w:t>Dean Engel finalized the presentation by sharing inform</w:t>
      </w:r>
      <w:r>
        <w:t xml:space="preserve">ation on improving online success rates that conceal disproportionately lower BIPOC performance. She also highlighted gains from AB 705 implementation, improvements in overall persistence rates, and help from Special Programs. </w:t>
      </w:r>
    </w:p>
    <w:p w14:paraId="2B3833DF" w14:textId="35F2FB9D" w:rsidR="002F5DF4" w:rsidRDefault="002F5DF4">
      <w:pPr>
        <w:shd w:val="clear" w:color="auto" w:fill="FFFFFF"/>
      </w:pPr>
    </w:p>
    <w:p w14:paraId="45AB7F8A" w14:textId="1E358495" w:rsidR="002F5DF4" w:rsidRDefault="002F5DF4">
      <w:pPr>
        <w:shd w:val="clear" w:color="auto" w:fill="FFFFFF"/>
      </w:pPr>
      <w:r>
        <w:t>The Task Force rant out of time to consider the “completion data” which will be reviewed during the next meeting, as will the “Internal Scan Part II” data.</w:t>
      </w:r>
      <w:bookmarkStart w:id="0" w:name="_GoBack"/>
      <w:bookmarkEnd w:id="0"/>
    </w:p>
    <w:p w14:paraId="2121B9F4" w14:textId="77777777" w:rsidR="00F2109B" w:rsidRDefault="00F2109B">
      <w:pPr>
        <w:shd w:val="clear" w:color="auto" w:fill="FFFFFF"/>
      </w:pPr>
    </w:p>
    <w:p w14:paraId="25E796F1" w14:textId="77777777" w:rsidR="00F2109B" w:rsidRDefault="002F5DF4">
      <w:pPr>
        <w:shd w:val="clear" w:color="auto" w:fill="FFFFFF"/>
      </w:pPr>
      <w:r>
        <w:t>Meeting participants agreed</w:t>
      </w:r>
      <w:r>
        <w:t xml:space="preserve"> to conclude the feedback process for MVV statements by the end of October and scheduled the next meeting in 2 weeks.  </w:t>
      </w:r>
    </w:p>
    <w:p w14:paraId="40965219" w14:textId="77777777" w:rsidR="00F2109B" w:rsidRDefault="002F5DF4">
      <w:pPr>
        <w:shd w:val="clear" w:color="auto" w:fill="FFFFFF"/>
      </w:pPr>
      <w:r>
        <w:t xml:space="preserve"> </w:t>
      </w:r>
    </w:p>
    <w:p w14:paraId="61D86BE9" w14:textId="77777777" w:rsidR="00F2109B" w:rsidRDefault="002F5DF4">
      <w:pPr>
        <w:shd w:val="clear" w:color="auto" w:fill="FFFFFF"/>
      </w:pPr>
      <w:r>
        <w:t xml:space="preserve"> </w:t>
      </w:r>
    </w:p>
    <w:p w14:paraId="46B0B9E3" w14:textId="77777777" w:rsidR="00F2109B" w:rsidRDefault="002F5DF4">
      <w:pPr>
        <w:shd w:val="clear" w:color="auto" w:fill="FFFFFF"/>
      </w:pPr>
      <w:r>
        <w:t xml:space="preserve">   </w:t>
      </w:r>
    </w:p>
    <w:p w14:paraId="04D8170E" w14:textId="77777777" w:rsidR="00F2109B" w:rsidRDefault="002F5DF4">
      <w:pPr>
        <w:shd w:val="clear" w:color="auto" w:fill="FFFFFF"/>
      </w:pPr>
      <w:r>
        <w:t xml:space="preserve"> </w:t>
      </w:r>
    </w:p>
    <w:p w14:paraId="70F9228A" w14:textId="77777777" w:rsidR="00F2109B" w:rsidRDefault="002F5DF4">
      <w:pPr>
        <w:shd w:val="clear" w:color="auto" w:fill="FFFFFF"/>
      </w:pPr>
      <w:r>
        <w:t xml:space="preserve"> </w:t>
      </w:r>
    </w:p>
    <w:p w14:paraId="20AEF9A7" w14:textId="77777777" w:rsidR="00F2109B" w:rsidRDefault="002F5DF4">
      <w:pPr>
        <w:shd w:val="clear" w:color="auto" w:fill="FFFFFF"/>
      </w:pPr>
      <w:r>
        <w:t xml:space="preserve"> </w:t>
      </w:r>
    </w:p>
    <w:p w14:paraId="73AC3656" w14:textId="77777777" w:rsidR="00F2109B" w:rsidRDefault="00F2109B">
      <w:pPr>
        <w:shd w:val="clear" w:color="auto" w:fill="FFFFFF"/>
      </w:pPr>
    </w:p>
    <w:p w14:paraId="30AD63B3" w14:textId="77777777" w:rsidR="00F2109B" w:rsidRDefault="00F2109B">
      <w:pPr>
        <w:shd w:val="clear" w:color="auto" w:fill="FFFFFF"/>
      </w:pPr>
    </w:p>
    <w:sectPr w:rsidR="00F2109B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ACA22" w14:textId="77777777" w:rsidR="00000000" w:rsidRDefault="002F5DF4">
      <w:pPr>
        <w:spacing w:line="240" w:lineRule="auto"/>
      </w:pPr>
      <w:r>
        <w:separator/>
      </w:r>
    </w:p>
  </w:endnote>
  <w:endnote w:type="continuationSeparator" w:id="0">
    <w:p w14:paraId="02803A69" w14:textId="77777777" w:rsidR="00000000" w:rsidRDefault="002F5D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CA5EE" w14:textId="77777777" w:rsidR="00F2109B" w:rsidRDefault="00F210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03EC4" w14:textId="77777777" w:rsidR="00000000" w:rsidRDefault="002F5DF4">
      <w:pPr>
        <w:spacing w:line="240" w:lineRule="auto"/>
      </w:pPr>
      <w:r>
        <w:separator/>
      </w:r>
    </w:p>
  </w:footnote>
  <w:footnote w:type="continuationSeparator" w:id="0">
    <w:p w14:paraId="13B3309A" w14:textId="77777777" w:rsidR="00000000" w:rsidRDefault="002F5D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5EB48" w14:textId="77777777" w:rsidR="00F2109B" w:rsidRDefault="002F5DF4">
    <w:pPr>
      <w:jc w:val="center"/>
    </w:pPr>
    <w:r>
      <w:rPr>
        <w:noProof/>
        <w:lang w:val="en-US"/>
      </w:rPr>
      <w:drawing>
        <wp:inline distT="114300" distB="114300" distL="114300" distR="114300" wp14:anchorId="0D542DDE" wp14:editId="7170583D">
          <wp:extent cx="1517904" cy="68133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7904" cy="6813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B8388" w14:textId="77777777" w:rsidR="00F2109B" w:rsidRDefault="00F210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54F"/>
    <w:multiLevelType w:val="multilevel"/>
    <w:tmpl w:val="96A00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2F51DC"/>
    <w:multiLevelType w:val="multilevel"/>
    <w:tmpl w:val="4D6446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9BD1957"/>
    <w:multiLevelType w:val="multilevel"/>
    <w:tmpl w:val="8BA0E2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6216D48"/>
    <w:multiLevelType w:val="multilevel"/>
    <w:tmpl w:val="59D497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8FF15DF"/>
    <w:multiLevelType w:val="multilevel"/>
    <w:tmpl w:val="871E04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9B"/>
    <w:rsid w:val="002F5DF4"/>
    <w:rsid w:val="003E19ED"/>
    <w:rsid w:val="00F2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A2AAF"/>
  <w15:docId w15:val="{1750CDD0-6016-4AC6-8F20-D0EC2F93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51A415522C74CB2195B1A777E9A7C" ma:contentTypeVersion="13" ma:contentTypeDescription="Create a new document." ma:contentTypeScope="" ma:versionID="618bc19bae1ae606cfd6804c8e2176d6">
  <xsd:schema xmlns:xsd="http://www.w3.org/2001/XMLSchema" xmlns:xs="http://www.w3.org/2001/XMLSchema" xmlns:p="http://schemas.microsoft.com/office/2006/metadata/properties" xmlns:ns3="2bc55ecc-363e-43e9-bfac-4ba2e86f45ee" xmlns:ns4="bb5bbb0b-6c89-44d7-be61-0adfe653f983" targetNamespace="http://schemas.microsoft.com/office/2006/metadata/properties" ma:root="true" ma:fieldsID="e0599e1f8396ab867dd6a01ab5d3ef8a" ns3:_="" ns4:_="">
    <xsd:import namespace="2bc55ecc-363e-43e9-bfac-4ba2e86f45ee"/>
    <xsd:import namespace="bb5bbb0b-6c89-44d7-be61-0adfe653f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5ecc-363e-43e9-bfac-4ba2e86f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bb0b-6c89-44d7-be61-0adfe653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CBB45A-AC23-478C-AD49-8C61552D9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5ecc-363e-43e9-bfac-4ba2e86f45ee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6C03FC-313A-4815-B923-FEF7B159C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D7DB5-42C5-43EE-84E5-14293A4C27DC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bb5bbb0b-6c89-44d7-be61-0adfe653f983"/>
    <ds:schemaRef ds:uri="2bc55ecc-363e-43e9-bfac-4ba2e86f45e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Engel, Karen</dc:creator>
  <cp:lastModifiedBy>Engel, Karen</cp:lastModifiedBy>
  <cp:revision>3</cp:revision>
  <dcterms:created xsi:type="dcterms:W3CDTF">2021-10-26T19:50:00Z</dcterms:created>
  <dcterms:modified xsi:type="dcterms:W3CDTF">2021-10-26T19:56:00Z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0x01010029551A415522C74CB2195B1A777E9A7C</vt:lpwstr>
  </property>
</Properties>
</file>