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IPC</w:t>
      </w:r>
    </w:p>
    <w:p w:rsidR="00000000" w:rsidDel="00000000" w:rsidP="00000000" w:rsidRDefault="00000000" w:rsidRPr="00000000" w14:paraId="00000002">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From:  Lisa Palmer, Chair of Curriculum</w:t>
      </w:r>
    </w:p>
    <w:p w:rsidR="00000000" w:rsidDel="00000000" w:rsidP="00000000" w:rsidRDefault="00000000" w:rsidRPr="00000000" w14:paraId="00000003">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October 4, 2024</w:t>
      </w:r>
    </w:p>
    <w:p w:rsidR="00000000" w:rsidDel="00000000" w:rsidP="00000000" w:rsidRDefault="00000000" w:rsidRPr="00000000" w14:paraId="00000004">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  Report</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Thank you to all of the faculty who helped to get</w:t>
      </w:r>
      <w:hyperlink r:id="rId6">
        <w:r w:rsidDel="00000000" w:rsidR="00000000" w:rsidRPr="00000000">
          <w:rPr>
            <w:rFonts w:ascii="Calibri" w:cs="Calibri" w:eastAsia="Calibri" w:hAnsi="Calibri"/>
            <w:color w:val="1155cc"/>
            <w:sz w:val="24"/>
            <w:szCs w:val="24"/>
            <w:u w:val="single"/>
            <w:rtl w:val="0"/>
          </w:rPr>
          <w:t xml:space="preserve"> the first seven courses</w:t>
        </w:r>
      </w:hyperlink>
      <w:r w:rsidDel="00000000" w:rsidR="00000000" w:rsidRPr="00000000">
        <w:rPr>
          <w:rFonts w:ascii="Calibri" w:cs="Calibri" w:eastAsia="Calibri" w:hAnsi="Calibri"/>
          <w:sz w:val="24"/>
          <w:szCs w:val="24"/>
          <w:rtl w:val="0"/>
        </w:rPr>
        <w:t xml:space="preserve"> updated to the Common Course Numbering templates.  The updates are in the queue, and faculty is working with the technical review team on final tweaks.  All of the CORs will be submitted to the Board and COCI in time for the fall 2024 deadline to be met, for the updated courses to be in the 2025-26 catalog, as required by AB 1111.</w:t>
      </w:r>
    </w:p>
    <w:p w:rsidR="00000000" w:rsidDel="00000000" w:rsidP="00000000" w:rsidRDefault="00000000" w:rsidRPr="00000000" w14:paraId="00000007">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The ASCCC has said that we will be getting the P</w:t>
      </w:r>
      <w:hyperlink r:id="rId7">
        <w:r w:rsidDel="00000000" w:rsidR="00000000" w:rsidRPr="00000000">
          <w:rPr>
            <w:rFonts w:ascii="Calibri" w:cs="Calibri" w:eastAsia="Calibri" w:hAnsi="Calibri"/>
            <w:color w:val="1155cc"/>
            <w:sz w:val="24"/>
            <w:szCs w:val="24"/>
            <w:u w:val="single"/>
            <w:rtl w:val="0"/>
          </w:rPr>
          <w:t xml:space="preserve">hase II set of CCN templates</w:t>
        </w:r>
      </w:hyperlink>
      <w:r w:rsidDel="00000000" w:rsidR="00000000" w:rsidRPr="00000000">
        <w:rPr>
          <w:rFonts w:ascii="Calibri" w:cs="Calibri" w:eastAsia="Calibri" w:hAnsi="Calibri"/>
          <w:sz w:val="24"/>
          <w:szCs w:val="24"/>
          <w:rtl w:val="0"/>
        </w:rPr>
        <w:t xml:space="preserve"> (36 CORs) in early January 2025.  See more information, as it is released, here:  </w:t>
      </w:r>
      <w:hyperlink r:id="rId8">
        <w:r w:rsidDel="00000000" w:rsidR="00000000" w:rsidRPr="00000000">
          <w:rPr>
            <w:rFonts w:ascii="Calibri" w:cs="Calibri" w:eastAsia="Calibri" w:hAnsi="Calibri"/>
            <w:color w:val="1155cc"/>
            <w:sz w:val="24"/>
            <w:szCs w:val="24"/>
            <w:u w:val="single"/>
            <w:rtl w:val="0"/>
          </w:rPr>
          <w:t xml:space="preserve">Common Course Numbering Project - California Community Colleges</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Faculty have also diligently revised AD-Ts to comply with AB 928.  Our revised ADTs will be reviewed and approved by our last meeting of F 24, in time for the 2025-26 catalog.</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Please don’t forget to update curriculum on the regular COR and program review cycle, as noted on </w:t>
      </w:r>
      <w:hyperlink r:id="rId9">
        <w:r w:rsidDel="00000000" w:rsidR="00000000" w:rsidRPr="00000000">
          <w:rPr>
            <w:color w:val="1155cc"/>
            <w:u w:val="single"/>
            <w:rtl w:val="0"/>
          </w:rPr>
          <w:t xml:space="preserve">this matrix</w:t>
        </w:r>
      </w:hyperlink>
      <w:r w:rsidDel="00000000" w:rsidR="00000000" w:rsidRPr="00000000">
        <w:rPr>
          <w:rtl w:val="0"/>
        </w:rPr>
        <w:t xml:space="preserve">.</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There are updated resources on the </w:t>
      </w:r>
      <w:hyperlink r:id="rId10">
        <w:r w:rsidDel="00000000" w:rsidR="00000000" w:rsidRPr="00000000">
          <w:rPr>
            <w:color w:val="1155cc"/>
            <w:u w:val="single"/>
            <w:rtl w:val="0"/>
          </w:rPr>
          <w:t xml:space="preserve">curriculum website</w:t>
        </w:r>
      </w:hyperlink>
      <w:r w:rsidDel="00000000" w:rsidR="00000000" w:rsidRPr="00000000">
        <w:rPr>
          <w:rtl w:val="0"/>
        </w:rPr>
        <w:t xml:space="preserve"> including a newly revised </w:t>
      </w:r>
      <w:hyperlink r:id="rId11">
        <w:r w:rsidDel="00000000" w:rsidR="00000000" w:rsidRPr="00000000">
          <w:rPr>
            <w:color w:val="1155cc"/>
            <w:u w:val="single"/>
            <w:rtl w:val="0"/>
          </w:rPr>
          <w:t xml:space="preserve">“Olive Edition”</w:t>
        </w:r>
      </w:hyperlink>
      <w:r w:rsidDel="00000000" w:rsidR="00000000" w:rsidRPr="00000000">
        <w:rPr>
          <w:rtl w:val="0"/>
        </w:rPr>
        <w:t xml:space="preserve"> of the curriculum handbook and Nada’s helpful </w:t>
      </w:r>
      <w:hyperlink r:id="rId12">
        <w:r w:rsidDel="00000000" w:rsidR="00000000" w:rsidRPr="00000000">
          <w:rPr>
            <w:color w:val="1155cc"/>
            <w:u w:val="single"/>
            <w:rtl w:val="0"/>
          </w:rPr>
          <w:t xml:space="preserve">DE addenda update</w:t>
        </w:r>
      </w:hyperlink>
      <w:r w:rsidDel="00000000" w:rsidR="00000000" w:rsidRPr="00000000">
        <w:rPr>
          <w:rtl w:val="0"/>
        </w:rPr>
        <w:t xml:space="preserve"> instructions.</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 When doing COR updates, the two aspects to focus on are ensuring that the DE addendum is updated (the regulations have changed) and including at least one textbook published within the past five years.</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If you have questions about any of this or need help with curriculum review, updates, or development, please join me at the curriculum flex day session next Tuesday, from 2:30 to 3:30 pm.  </w:t>
      </w:r>
      <w:r w:rsidDel="00000000" w:rsidR="00000000" w:rsidRPr="00000000">
        <w:rPr>
          <w:rFonts w:ascii="Franklin Gothic" w:cs="Franklin Gothic" w:eastAsia="Franklin Gothic" w:hAnsi="Franklin Gothic"/>
          <w:sz w:val="20"/>
          <w:szCs w:val="20"/>
          <w:rtl w:val="0"/>
        </w:rPr>
        <w:t xml:space="preserve">Multimodal: Room 13-337 and on Zoom: </w:t>
      </w:r>
      <w:hyperlink r:id="rId13">
        <w:r w:rsidDel="00000000" w:rsidR="00000000" w:rsidRPr="00000000">
          <w:rPr>
            <w:rFonts w:ascii="Franklin Gothic" w:cs="Franklin Gothic" w:eastAsia="Franklin Gothic" w:hAnsi="Franklin Gothic"/>
            <w:color w:val="1155cc"/>
            <w:sz w:val="20"/>
            <w:szCs w:val="20"/>
            <w:u w:val="single"/>
            <w:rtl w:val="0"/>
          </w:rPr>
          <w:t xml:space="preserve">https://smccd.zoom.us/j/85084350971</w:t>
        </w:r>
      </w:hyperlink>
      <w:r w:rsidDel="00000000" w:rsidR="00000000" w:rsidRPr="00000000">
        <w:rPr>
          <w:rFonts w:ascii="Franklin Gothic" w:cs="Franklin Gothic" w:eastAsia="Franklin Gothic" w:hAnsi="Franklin Gothic"/>
          <w:sz w:val="20"/>
          <w:szCs w:val="20"/>
          <w:rtl w:val="0"/>
        </w:rPr>
        <w:t xml:space="preserve"> </w:t>
      </w:r>
    </w:p>
    <w:p w:rsidR="00000000" w:rsidDel="00000000" w:rsidP="00000000" w:rsidRDefault="00000000" w:rsidRPr="00000000" w14:paraId="00000013">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Franklin Gothic">
    <w:embedBold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anadacollege.edu/curriculum-committee/handbook.php" TargetMode="External"/><Relationship Id="rId10" Type="http://schemas.openxmlformats.org/officeDocument/2006/relationships/hyperlink" Target="https://canadacollege.edu/curriculum-committee/" TargetMode="External"/><Relationship Id="rId13" Type="http://schemas.openxmlformats.org/officeDocument/2006/relationships/hyperlink" Target="https://smccd.zoom.us/j/85084350971" TargetMode="External"/><Relationship Id="rId12" Type="http://schemas.openxmlformats.org/officeDocument/2006/relationships/hyperlink" Target="https://docs.google.com/document/u/0/d/1X0cf_wimYDNCQJX10NvUAgaCHdUJeZ4KXE9AbafvfH4/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nadacollege.edu/curriculum-committee/curriculum-review-matrix.php" TargetMode="External"/><Relationship Id="rId5" Type="http://schemas.openxmlformats.org/officeDocument/2006/relationships/styles" Target="styles.xml"/><Relationship Id="rId6" Type="http://schemas.openxmlformats.org/officeDocument/2006/relationships/hyperlink" Target="https://drive.google.com/open?id=1VXs-xyPYWopgao4jxQEp4do1-bVYHfvR" TargetMode="External"/><Relationship Id="rId7" Type="http://schemas.openxmlformats.org/officeDocument/2006/relationships/hyperlink" Target="https://docs.google.com/presentation/u/0/d/1_FgcVezM5USuVxI-ovS5p-z9RO20GqZlNYXRCWjZ5cg/edit" TargetMode="External"/><Relationship Id="rId8" Type="http://schemas.openxmlformats.org/officeDocument/2006/relationships/hyperlink" Target="https://www.cccco.edu/About-Us/Chancellors-Office/Divisions/Educational-Services-and-Support/common-course-numbering-proje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